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Redox Titrations: Winkler Method</w:t>
      </w:r>
    </w:p>
    <w:p w:rsidR="00000000" w:rsidDel="00000000" w:rsidP="00000000" w:rsidRDefault="00000000" w:rsidRPr="00000000" w14:paraId="00000002">
      <w:pPr>
        <w:rPr>
          <w:rFonts w:ascii="Cambria" w:cs="Cambria" w:eastAsia="Cambria" w:hAnsi="Cambria"/>
        </w:rPr>
      </w:pPr>
      <w:r w:rsidDel="00000000" w:rsidR="00000000" w:rsidRPr="00000000">
        <w:rPr>
          <w:rFonts w:ascii="Cambria" w:cs="Cambria" w:eastAsia="Cambria" w:hAnsi="Cambria"/>
          <w:rtl w:val="0"/>
        </w:rPr>
        <w:t xml:space="preserve">Name ______________________________________</w:t>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rPr>
      </w:pPr>
      <w:r w:rsidDel="00000000" w:rsidR="00000000" w:rsidRPr="00000000">
        <w:rPr>
          <w:rFonts w:ascii="Cambria" w:cs="Cambria" w:eastAsia="Cambria" w:hAnsi="Cambria"/>
          <w:rtl w:val="0"/>
        </w:rPr>
        <w:t xml:space="preserve">1. Calculate BOD from titrations using the Winkler Method </w:t>
      </w:r>
    </w:p>
    <w:p w:rsidR="00000000" w:rsidDel="00000000" w:rsidP="00000000" w:rsidRDefault="00000000" w:rsidRPr="00000000" w14:paraId="00000005">
      <w:pPr>
        <w:rPr>
          <w:rFonts w:ascii="Cambria" w:cs="Cambria" w:eastAsia="Cambria" w:hAnsi="Cambria"/>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2Mn</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(aq) + O</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(g) + 4OH</w:t>
      </w:r>
      <w:r w:rsidDel="00000000" w:rsidR="00000000" w:rsidRPr="00000000">
        <w:rPr>
          <w:rFonts w:ascii="Cambria" w:cs="Cambria" w:eastAsia="Cambria" w:hAnsi="Cambria"/>
          <w:sz w:val="24"/>
          <w:szCs w:val="24"/>
          <w:vertAlign w:val="superscript"/>
          <w:rtl w:val="0"/>
        </w:rPr>
        <w:t xml:space="preserve">-</w:t>
      </w:r>
      <w:r w:rsidDel="00000000" w:rsidR="00000000" w:rsidRPr="00000000">
        <w:rPr>
          <w:rFonts w:ascii="Cambria" w:cs="Cambria" w:eastAsia="Cambria" w:hAnsi="Cambria"/>
          <w:sz w:val="24"/>
          <w:szCs w:val="24"/>
          <w:rtl w:val="0"/>
        </w:rPr>
        <w:t xml:space="preserve">(aq) → 2MnO</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(s) + 2H</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O(l)</w:t>
      </w:r>
    </w:p>
    <w:p w:rsidR="00000000" w:rsidDel="00000000" w:rsidP="00000000" w:rsidRDefault="00000000" w:rsidRPr="00000000" w14:paraId="00000007">
      <w:pPr>
        <w:widowControl w:val="0"/>
        <w:spacing w:line="240" w:lineRule="auto"/>
        <w:jc w:val="center"/>
        <w:rPr>
          <w:rFonts w:ascii="Cambria" w:cs="Cambria" w:eastAsia="Cambria" w:hAnsi="Cambria"/>
        </w:rPr>
      </w:pPr>
      <w:r w:rsidDel="00000000" w:rsidR="00000000" w:rsidRPr="00000000">
        <w:rPr>
          <w:rFonts w:ascii="Cambria" w:cs="Cambria" w:eastAsia="Cambria" w:hAnsi="Cambria"/>
          <w:sz w:val="24"/>
          <w:szCs w:val="24"/>
          <w:rtl w:val="0"/>
        </w:rPr>
        <w:t xml:space="preserve">MnO</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(s) + 2I</w:t>
      </w:r>
      <w:r w:rsidDel="00000000" w:rsidR="00000000" w:rsidRPr="00000000">
        <w:rPr>
          <w:rFonts w:ascii="Cambria" w:cs="Cambria" w:eastAsia="Cambria" w:hAnsi="Cambria"/>
          <w:sz w:val="24"/>
          <w:szCs w:val="24"/>
          <w:vertAlign w:val="superscript"/>
          <w:rtl w:val="0"/>
        </w:rPr>
        <w:t xml:space="preserve">-</w:t>
      </w:r>
      <w:r w:rsidDel="00000000" w:rsidR="00000000" w:rsidRPr="00000000">
        <w:rPr>
          <w:rFonts w:ascii="Cambria" w:cs="Cambria" w:eastAsia="Cambria" w:hAnsi="Cambria"/>
          <w:sz w:val="24"/>
          <w:szCs w:val="24"/>
          <w:rtl w:val="0"/>
        </w:rPr>
        <w:t xml:space="preserve">(aq) + 4H</w:t>
      </w:r>
      <w:r w:rsidDel="00000000" w:rsidR="00000000" w:rsidRPr="00000000">
        <w:rPr>
          <w:rFonts w:ascii="Cambria" w:cs="Cambria" w:eastAsia="Cambria" w:hAnsi="Cambria"/>
          <w:sz w:val="24"/>
          <w:szCs w:val="24"/>
          <w:vertAlign w:val="superscript"/>
          <w:rtl w:val="0"/>
        </w:rPr>
        <w:t xml:space="preserve">+</w:t>
      </w:r>
      <w:r w:rsidDel="00000000" w:rsidR="00000000" w:rsidRPr="00000000">
        <w:rPr>
          <w:rFonts w:ascii="Cambria" w:cs="Cambria" w:eastAsia="Cambria" w:hAnsi="Cambria"/>
          <w:sz w:val="24"/>
          <w:szCs w:val="24"/>
          <w:rtl w:val="0"/>
        </w:rPr>
        <w:t xml:space="preserve">(aq) → Mn</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(aq) + I</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(aq) + 2H</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O(l)</w:t>
      </w:r>
      <w:r w:rsidDel="00000000" w:rsidR="00000000" w:rsidRPr="00000000">
        <w:rPr>
          <w:rtl w:val="0"/>
        </w:rPr>
      </w:r>
    </w:p>
    <w:p w:rsidR="00000000" w:rsidDel="00000000" w:rsidP="00000000" w:rsidRDefault="00000000" w:rsidRPr="00000000" w14:paraId="00000008">
      <w:pPr>
        <w:jc w:val="center"/>
        <w:rPr>
          <w:rFonts w:ascii="Cambria" w:cs="Cambria" w:eastAsia="Cambria" w:hAnsi="Cambria"/>
        </w:rPr>
      </w:pPr>
      <w:r w:rsidDel="00000000" w:rsidR="00000000" w:rsidRPr="00000000">
        <w:rPr>
          <w:rFonts w:ascii="Cambria" w:cs="Cambria" w:eastAsia="Cambria" w:hAnsi="Cambria"/>
          <w:rtl w:val="0"/>
        </w:rPr>
        <w:t xml:space="preserve">I</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(aq) + 2S</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O</w:t>
      </w:r>
      <w:r w:rsidDel="00000000" w:rsidR="00000000" w:rsidRPr="00000000">
        <w:rPr>
          <w:rFonts w:ascii="Cambria" w:cs="Cambria" w:eastAsia="Cambria" w:hAnsi="Cambria"/>
          <w:vertAlign w:val="subscript"/>
          <w:rtl w:val="0"/>
        </w:rPr>
        <w:t xml:space="preserve">3</w:t>
      </w:r>
      <w:r w:rsidDel="00000000" w:rsidR="00000000" w:rsidRPr="00000000">
        <w:rPr>
          <w:rFonts w:ascii="Cambria" w:cs="Cambria" w:eastAsia="Cambria" w:hAnsi="Cambria"/>
          <w:vertAlign w:val="superscript"/>
          <w:rtl w:val="0"/>
        </w:rPr>
        <w:t xml:space="preserve">2−</w:t>
      </w:r>
      <w:r w:rsidDel="00000000" w:rsidR="00000000" w:rsidRPr="00000000">
        <w:rPr>
          <w:rFonts w:ascii="Cambria" w:cs="Cambria" w:eastAsia="Cambria" w:hAnsi="Cambria"/>
          <w:rtl w:val="0"/>
        </w:rPr>
        <w:t xml:space="preserve">(aq) → S</w:t>
      </w:r>
      <w:r w:rsidDel="00000000" w:rsidR="00000000" w:rsidRPr="00000000">
        <w:rPr>
          <w:rFonts w:ascii="Cambria" w:cs="Cambria" w:eastAsia="Cambria" w:hAnsi="Cambria"/>
          <w:vertAlign w:val="subscript"/>
          <w:rtl w:val="0"/>
        </w:rPr>
        <w:t xml:space="preserve">4</w:t>
      </w:r>
      <w:r w:rsidDel="00000000" w:rsidR="00000000" w:rsidRPr="00000000">
        <w:rPr>
          <w:rFonts w:ascii="Cambria" w:cs="Cambria" w:eastAsia="Cambria" w:hAnsi="Cambria"/>
          <w:rtl w:val="0"/>
        </w:rPr>
        <w:t xml:space="preserve">O</w:t>
      </w:r>
      <w:r w:rsidDel="00000000" w:rsidR="00000000" w:rsidRPr="00000000">
        <w:rPr>
          <w:rFonts w:ascii="Cambria" w:cs="Cambria" w:eastAsia="Cambria" w:hAnsi="Cambria"/>
          <w:vertAlign w:val="subscript"/>
          <w:rtl w:val="0"/>
        </w:rPr>
        <w:t xml:space="preserve">6</w:t>
      </w:r>
      <w:r w:rsidDel="00000000" w:rsidR="00000000" w:rsidRPr="00000000">
        <w:rPr>
          <w:rFonts w:ascii="Cambria" w:cs="Cambria" w:eastAsia="Cambria" w:hAnsi="Cambria"/>
          <w:vertAlign w:val="superscript"/>
          <w:rtl w:val="0"/>
        </w:rPr>
        <w:t xml:space="preserve">2-</w:t>
      </w:r>
      <w:r w:rsidDel="00000000" w:rsidR="00000000" w:rsidRPr="00000000">
        <w:rPr>
          <w:rFonts w:ascii="Cambria" w:cs="Cambria" w:eastAsia="Cambria" w:hAnsi="Cambria"/>
          <w:rtl w:val="0"/>
        </w:rPr>
        <w:t xml:space="preserve"> (aq) + 2I</w:t>
      </w:r>
      <w:r w:rsidDel="00000000" w:rsidR="00000000" w:rsidRPr="00000000">
        <w:rPr>
          <w:rFonts w:ascii="Cambria" w:cs="Cambria" w:eastAsia="Cambria" w:hAnsi="Cambria"/>
          <w:vertAlign w:val="superscript"/>
          <w:rtl w:val="0"/>
        </w:rPr>
        <w:t xml:space="preserve">−</w:t>
      </w:r>
      <w:r w:rsidDel="00000000" w:rsidR="00000000" w:rsidRPr="00000000">
        <w:rPr>
          <w:rFonts w:ascii="Cambria" w:cs="Cambria" w:eastAsia="Cambria" w:hAnsi="Cambria"/>
          <w:rtl w:val="0"/>
        </w:rPr>
        <w:t xml:space="preserve"> (aq) </w:t>
      </w:r>
    </w:p>
    <w:p w:rsidR="00000000" w:rsidDel="00000000" w:rsidP="00000000" w:rsidRDefault="00000000" w:rsidRPr="00000000" w14:paraId="00000009">
      <w:pPr>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Fonts w:ascii="Cambria" w:cs="Cambria" w:eastAsia="Cambria" w:hAnsi="Cambria"/>
          <w:rtl w:val="0"/>
        </w:rPr>
        <w:t xml:space="preserve">(a) The Winkler method was used to measure the concentration of dissolved oxygen in a sample of water. Manganese(II) sulfate, sulfuric acid and potassium iodide were added to 50.0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of the water. The iodine that was formed was titrated against a sodium thiosulfate solution with a concentration of 2.00 x 10</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It was found that 17.40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of sodium thiosulfate was required for the titration. Another sample of water from the same source was incubated for 5 days at 20 °C. At the end of the incubation the Winkler method was used to determine concentration of dissolved oxygen. It was found that the concentration of dissolved oxygen in the sample was 3.50 ppm. Calculate the concentration of dissolved oxygen (in ppm) in the original sample and the biochemical oxygen demand. </w:t>
      </w:r>
    </w:p>
    <w:p w:rsidR="00000000" w:rsidDel="00000000" w:rsidP="00000000" w:rsidRDefault="00000000" w:rsidRPr="00000000" w14:paraId="0000000B">
      <w:pPr>
        <w:rPr>
          <w:rFonts w:ascii="Cambria" w:cs="Cambria" w:eastAsia="Cambria" w:hAnsi="Cambria"/>
        </w:rPr>
      </w:pPr>
      <w:r w:rsidDel="00000000" w:rsidR="00000000" w:rsidRPr="00000000">
        <w:rPr>
          <w:rtl w:val="0"/>
        </w:rPr>
      </w:r>
    </w:p>
    <w:p w:rsidR="00000000" w:rsidDel="00000000" w:rsidP="00000000" w:rsidRDefault="00000000" w:rsidRPr="00000000" w14:paraId="0000000C">
      <w:pPr>
        <w:rPr>
          <w:rFonts w:ascii="Cambria" w:cs="Cambria" w:eastAsia="Cambria" w:hAnsi="Cambria"/>
        </w:rPr>
      </w:pPr>
      <w:r w:rsidDel="00000000" w:rsidR="00000000" w:rsidRPr="00000000">
        <w:rPr>
          <w:rFonts w:ascii="Cambria" w:cs="Cambria" w:eastAsia="Cambria" w:hAnsi="Cambria"/>
          <w:rtl w:val="0"/>
        </w:rPr>
        <w:t xml:space="preserve">(b) The Winkler method was used to measure the concentration of dissolved oxygen in a sample of water. Manganese(II) sulfate, sulfuric acid and potassium iodide were added to 25.0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of the water. The iodine that was formed was titrated against a sodium thiosulfate solution with a concentration of 1.00 x 10</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mol dm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It was found that 22.30 cm</w:t>
      </w:r>
      <w:r w:rsidDel="00000000" w:rsidR="00000000" w:rsidRPr="00000000">
        <w:rPr>
          <w:rFonts w:ascii="Cambria" w:cs="Cambria" w:eastAsia="Cambria" w:hAnsi="Cambria"/>
          <w:vertAlign w:val="superscript"/>
          <w:rtl w:val="0"/>
        </w:rPr>
        <w:t xml:space="preserve">3</w:t>
      </w:r>
      <w:r w:rsidDel="00000000" w:rsidR="00000000" w:rsidRPr="00000000">
        <w:rPr>
          <w:rFonts w:ascii="Cambria" w:cs="Cambria" w:eastAsia="Cambria" w:hAnsi="Cambria"/>
          <w:rtl w:val="0"/>
        </w:rPr>
        <w:t xml:space="preserve"> of sodium thiosulfate was required for the titration. Another sample of water from the same source was incubated for 5 days at 20 °C. At the end of the incubation the Winkler method was used to determine concentration of dissolved oxygen. It was found that the concentration of dissolved oxygen in the sample was 2.80 ppm. Calculate the concentration of dissolved oxygen in the original sample and the biochemical oxygen demand. </w:t>
      </w:r>
    </w:p>
    <w:p w:rsidR="00000000" w:rsidDel="00000000" w:rsidP="00000000" w:rsidRDefault="00000000" w:rsidRPr="00000000" w14:paraId="0000000D">
      <w:pPr>
        <w:rPr>
          <w:rFonts w:ascii="Cambria" w:cs="Cambria" w:eastAsia="Cambria" w:hAnsi="Cambria"/>
        </w:rPr>
      </w:pPr>
      <w:r w:rsidDel="00000000" w:rsidR="00000000" w:rsidRPr="00000000">
        <w:rPr>
          <w:rtl w:val="0"/>
        </w:rPr>
      </w:r>
    </w:p>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2.   Explain the connection between biochemical oxygen demand and the degree of pollution of a water sample.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