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lineRule="auto"/>
        <w:rPr>
          <w:rFonts w:ascii="Century Schoolbook" w:cs="Century Schoolbook" w:eastAsia="Century Schoolbook" w:hAnsi="Century Schoolbook"/>
          <w:color w:val="666666"/>
          <w:sz w:val="36"/>
          <w:szCs w:val="36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Go to </w:t>
      </w:r>
      <w:hyperlink r:id="rId6">
        <w:r w:rsidDel="00000000" w:rsidR="00000000" w:rsidRPr="00000000">
          <w:rPr>
            <w:rFonts w:ascii="Century Schoolbook" w:cs="Century Schoolbook" w:eastAsia="Century Schoolbook" w:hAnsi="Century Schoolbook"/>
            <w:color w:val="db4437"/>
            <w:sz w:val="36"/>
            <w:szCs w:val="36"/>
            <w:u w:val="single"/>
            <w:rtl w:val="0"/>
          </w:rPr>
          <w:t xml:space="preserve">PhET Simulator</w:t>
        </w:r>
      </w:hyperlink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 Click to open the simulator.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 Click the “many collisions” tab.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Note the reaction you are observing (located on the bottom of the screen).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Look at the graph representing the reaction on the side of the screen. Is the reaction exothermic or endothermic?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In the box labeled “current amounts”, enter 10 for A and 10 for BC. Watch for 30 seconds and observe the amount of products formed.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Increase the temperature of the reaction so that the total average energy is above the energy level of the products but below the activation energy.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Repeat step 5.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Raise the temperature above the activation energy.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Repeat step 5.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240" w:lineRule="auto"/>
        <w:ind w:left="720" w:hanging="360"/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666666"/>
          <w:sz w:val="36"/>
          <w:szCs w:val="36"/>
          <w:rtl w:val="0"/>
        </w:rPr>
        <w:t xml:space="preserve">What did you notice about the rate of formation of products between the three temperatures?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Schoolboo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Source Code Pro" w:cs="Source Code Pro" w:eastAsia="Source Code Pro" w:hAnsi="Source Code Pro"/>
        <w:b w:val="0"/>
        <w:bCs w:val="0"/>
        <w:i w:val="0"/>
        <w:iCs w:val="0"/>
        <w:smallCaps w:val="0"/>
        <w:strike w:val="0"/>
        <w:color w:val="666666"/>
        <w:sz w:val="36"/>
        <w:szCs w:val="36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Source Code Pro" w:cs="Source Code Pro" w:eastAsia="Source Code Pro" w:hAnsi="Source Code Pro"/>
        <w:b w:val="0"/>
        <w:bCs w:val="0"/>
        <w:i w:val="0"/>
        <w:iCs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Source Code Pro" w:cs="Source Code Pro" w:eastAsia="Source Code Pro" w:hAnsi="Source Code Pro"/>
        <w:b w:val="0"/>
        <w:bCs w:val="0"/>
        <w:i w:val="0"/>
        <w:iCs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Source Code Pro" w:cs="Source Code Pro" w:eastAsia="Source Code Pro" w:hAnsi="Source Code Pro"/>
        <w:b w:val="0"/>
        <w:bCs w:val="0"/>
        <w:i w:val="0"/>
        <w:iCs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Source Code Pro" w:cs="Source Code Pro" w:eastAsia="Source Code Pro" w:hAnsi="Source Code Pro"/>
        <w:b w:val="0"/>
        <w:bCs w:val="0"/>
        <w:i w:val="0"/>
        <w:iCs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Source Code Pro" w:cs="Source Code Pro" w:eastAsia="Source Code Pro" w:hAnsi="Source Code Pro"/>
        <w:b w:val="0"/>
        <w:bCs w:val="0"/>
        <w:i w:val="0"/>
        <w:iCs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Source Code Pro" w:cs="Source Code Pro" w:eastAsia="Source Code Pro" w:hAnsi="Source Code Pro"/>
        <w:b w:val="0"/>
        <w:bCs w:val="0"/>
        <w:i w:val="0"/>
        <w:iCs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Source Code Pro" w:cs="Source Code Pro" w:eastAsia="Source Code Pro" w:hAnsi="Source Code Pro"/>
        <w:b w:val="0"/>
        <w:bCs w:val="0"/>
        <w:i w:val="0"/>
        <w:iCs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Source Code Pro" w:cs="Source Code Pro" w:eastAsia="Source Code Pro" w:hAnsi="Source Code Pro"/>
        <w:b w:val="0"/>
        <w:bCs w:val="0"/>
        <w:i w:val="0"/>
        <w:iCs w:val="0"/>
        <w:smallCaps w:val="0"/>
        <w:strike w:val="0"/>
        <w:color w:val="666666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het.colorado.edu/en/simulations/reactions-and-rat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CenturySchoolbook-regular.ttf"/><Relationship Id="rId6" Type="http://schemas.openxmlformats.org/officeDocument/2006/relationships/font" Target="fonts/CenturySchoolbook-bold.ttf"/><Relationship Id="rId7" Type="http://schemas.openxmlformats.org/officeDocument/2006/relationships/font" Target="fonts/CenturySchoolbook-italic.ttf"/><Relationship Id="rId8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