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Jost" w:cs="Jost" w:eastAsia="Jost" w:hAnsi="Jost"/>
          <w:b w:val="1"/>
          <w:sz w:val="36"/>
          <w:szCs w:val="36"/>
        </w:rPr>
      </w:pPr>
      <w:bookmarkStart w:colFirst="0" w:colLast="0" w:name="_heading=h.gjdgxs" w:id="0"/>
      <w:bookmarkEnd w:id="0"/>
      <w:r w:rsidDel="00000000" w:rsidR="00000000" w:rsidRPr="00000000">
        <w:rPr>
          <w:rFonts w:ascii="Jost" w:cs="Jost" w:eastAsia="Jost" w:hAnsi="Jost"/>
          <w:sz w:val="36"/>
          <w:szCs w:val="36"/>
          <w:rtl w:val="0"/>
        </w:rPr>
        <w:t xml:space="preserve">Model Exploration of </w:t>
      </w:r>
      <w:r w:rsidDel="00000000" w:rsidR="00000000" w:rsidRPr="00000000">
        <w:rPr>
          <w:rFonts w:ascii="Jost" w:cs="Jost" w:eastAsia="Jost" w:hAnsi="Jost"/>
          <w:b w:val="1"/>
          <w:sz w:val="36"/>
          <w:szCs w:val="36"/>
          <w:rtl w:val="0"/>
        </w:rPr>
        <w:t xml:space="preserve">Maxwell-Boltzmann Distributions</w:t>
      </w:r>
    </w:p>
    <w:p w:rsidR="00000000" w:rsidDel="00000000" w:rsidP="00000000" w:rsidRDefault="00000000" w:rsidRPr="00000000" w14:paraId="00000002">
      <w:pPr>
        <w:pStyle w:val="Heading3"/>
        <w:spacing w:before="0" w:lineRule="auto"/>
        <w:rPr>
          <w:rFonts w:ascii="Jost" w:cs="Jost" w:eastAsia="Jost" w:hAnsi="Jost"/>
        </w:rPr>
      </w:pPr>
      <w:bookmarkStart w:colFirst="0" w:colLast="0" w:name="_heading=h.30j0zll" w:id="1"/>
      <w:bookmarkEnd w:id="1"/>
      <w:r w:rsidDel="00000000" w:rsidR="00000000" w:rsidRPr="00000000">
        <w:rPr>
          <w:rFonts w:ascii="Jost" w:cs="Jost" w:eastAsia="Jost" w:hAnsi="Jost"/>
          <w:rtl w:val="0"/>
        </w:rPr>
        <w:t xml:space="preserve">Model 1 — Graphing Particle Speeds</w:t>
      </w:r>
    </w:p>
    <w:p w:rsidR="00000000" w:rsidDel="00000000" w:rsidP="00000000" w:rsidRDefault="00000000" w:rsidRPr="00000000" w14:paraId="0000000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diagram below shows a collection of gas particles in a rigid container. The speed of each particle is shown.</w:t>
      </w:r>
    </w:p>
    <w:p w:rsidR="00000000" w:rsidDel="00000000" w:rsidP="00000000" w:rsidRDefault="00000000" w:rsidRPr="00000000" w14:paraId="0000000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6">
      <w:pPr>
        <w:pStyle w:val="Heading3"/>
        <w:spacing w:before="0" w:lineRule="auto"/>
        <w:jc w:val="center"/>
        <w:rPr>
          <w:rFonts w:ascii="Jost" w:cs="Jost" w:eastAsia="Jost" w:hAnsi="Jost"/>
          <w:b w:val="1"/>
        </w:rPr>
      </w:pPr>
      <w:bookmarkStart w:colFirst="0" w:colLast="0" w:name="_heading=h.1fob9te" w:id="2"/>
      <w:bookmarkEnd w:id="2"/>
      <w:r w:rsidDel="00000000" w:rsidR="00000000" w:rsidRPr="00000000">
        <w:rPr>
          <w:rFonts w:ascii="Jost" w:cs="Jost" w:eastAsia="Jost" w:hAnsi="Jost"/>
          <w:b w:val="1"/>
        </w:rPr>
        <w:drawing>
          <wp:inline distB="114300" distT="114300" distL="114300" distR="114300">
            <wp:extent cx="5772150" cy="3091910"/>
            <wp:effectExtent b="25400" l="25400" r="25400" t="25400"/>
            <wp:docPr id="13" name="image5.png"/>
            <a:graphic>
              <a:graphicData uri="http://schemas.openxmlformats.org/drawingml/2006/picture">
                <pic:pic>
                  <pic:nvPicPr>
                    <pic:cNvPr id="0" name="image5.png"/>
                    <pic:cNvPicPr preferRelativeResize="0"/>
                  </pic:nvPicPr>
                  <pic:blipFill>
                    <a:blip r:embed="rId7"/>
                    <a:srcRect b="1616" l="0" r="0" t="3234"/>
                    <a:stretch>
                      <a:fillRect/>
                    </a:stretch>
                  </pic:blipFill>
                  <pic:spPr>
                    <a:xfrm>
                      <a:off x="0" y="0"/>
                      <a:ext cx="5772150" cy="309191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rFonts w:ascii="Proxima Nova" w:cs="Proxima Nova" w:eastAsia="Proxima Nova" w:hAnsi="Proxima Nova"/>
          <w:rtl w:val="0"/>
        </w:rPr>
        <w:t xml:space="preserve">Create a scatter plot that shows the number of particles moving at each particle speed. Then on top of that graph, make a smooth, curved line graph that starts at the origin and approximately passes through the points. This graph is called a </w:t>
      </w:r>
      <w:r w:rsidDel="00000000" w:rsidR="00000000" w:rsidRPr="00000000">
        <w:rPr>
          <w:rFonts w:ascii="Proxima Nova" w:cs="Proxima Nova" w:eastAsia="Proxima Nova" w:hAnsi="Proxima Nova"/>
          <w:b w:val="1"/>
          <w:rtl w:val="0"/>
        </w:rPr>
        <w:t xml:space="preserve">Maxwell-Boltzmann distribution</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0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5091113" cy="3098080"/>
            <wp:effectExtent b="0" l="0" r="0" t="0"/>
            <wp:docPr id="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091113" cy="309808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righ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pStyle w:val="Heading3"/>
        <w:spacing w:before="0" w:lineRule="auto"/>
        <w:rPr>
          <w:rFonts w:ascii="Jost" w:cs="Jost" w:eastAsia="Jost" w:hAnsi="Jost"/>
        </w:rPr>
      </w:pPr>
      <w:bookmarkStart w:colFirst="0" w:colLast="0" w:name="_heading=h.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3"/>
        <w:spacing w:before="0" w:lineRule="auto"/>
        <w:rPr>
          <w:rFonts w:ascii="Proxima Nova" w:cs="Proxima Nova" w:eastAsia="Proxima Nova" w:hAnsi="Proxima Nova"/>
          <w:b w:val="1"/>
          <w:color w:val="000000"/>
          <w:sz w:val="22"/>
          <w:szCs w:val="22"/>
        </w:rPr>
      </w:pPr>
      <w:bookmarkStart w:colFirst="0" w:colLast="0" w:name="_heading=h.2et92p0" w:id="4"/>
      <w:bookmarkEnd w:id="4"/>
      <w:r w:rsidDel="00000000" w:rsidR="00000000" w:rsidRPr="00000000">
        <w:rPr>
          <w:rFonts w:ascii="Jost" w:cs="Jost" w:eastAsia="Jost" w:hAnsi="Jost"/>
          <w:rtl w:val="0"/>
        </w:rPr>
        <w:t xml:space="preserve">Model 2 — Graphing Particle Speeds at </w:t>
      </w:r>
      <w:r w:rsidDel="00000000" w:rsidR="00000000" w:rsidRPr="00000000">
        <w:rPr>
          <w:rFonts w:ascii="Jost" w:cs="Jost" w:eastAsia="Jost" w:hAnsi="Jost"/>
          <w:b w:val="1"/>
          <w:rtl w:val="0"/>
        </w:rPr>
        <w:t xml:space="preserve">Different Temperatures</w:t>
      </w:r>
      <w:r w:rsidDel="00000000" w:rsidR="00000000" w:rsidRPr="00000000">
        <w:rPr>
          <w:rtl w:val="0"/>
        </w:rPr>
      </w:r>
    </w:p>
    <w:p w:rsidR="00000000" w:rsidDel="00000000" w:rsidP="00000000" w:rsidRDefault="00000000" w:rsidRPr="00000000" w14:paraId="0000000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Now the sample of particles from Model 1 are heated using a lab burner. Here is a diagram of the particles after being heated.</w:t>
      </w:r>
    </w:p>
    <w:p w:rsidR="00000000" w:rsidDel="00000000" w:rsidP="00000000" w:rsidRDefault="00000000" w:rsidRPr="00000000" w14:paraId="0000000F">
      <w:pPr>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5758815" cy="3248805"/>
            <wp:effectExtent b="25400" l="25400" r="25400" t="25400"/>
            <wp:docPr id="1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58815" cy="324880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0">
      <w:pPr>
        <w:numPr>
          <w:ilvl w:val="0"/>
          <w:numId w:val="2"/>
        </w:numPr>
        <w:ind w:left="720" w:hanging="360"/>
        <w:rPr/>
      </w:pPr>
      <w:r w:rsidDel="00000000" w:rsidR="00000000" w:rsidRPr="00000000">
        <w:rPr>
          <w:rFonts w:ascii="Proxima Nova" w:cs="Proxima Nova" w:eastAsia="Proxima Nova" w:hAnsi="Proxima Nova"/>
          <w:rtl w:val="0"/>
        </w:rPr>
        <w:t xml:space="preserve">Create two Maxwell-Boltzmann distributions on the graph below, one for the particles before heating (Model 1) and one for the particles after heating (Model 2). Label the curves “cold” and “hot.” </w:t>
      </w:r>
      <w:r w:rsidDel="00000000" w:rsidR="00000000" w:rsidRPr="00000000">
        <w:rPr>
          <w:rtl w:val="0"/>
        </w:rPr>
      </w:r>
    </w:p>
    <w:p w:rsidR="00000000" w:rsidDel="00000000" w:rsidP="00000000" w:rsidRDefault="00000000" w:rsidRPr="00000000" w14:paraId="00000011">
      <w:pPr>
        <w:jc w:val="center"/>
        <w:rPr>
          <w:rFonts w:ascii="Jost" w:cs="Jost" w:eastAsia="Jost" w:hAnsi="Jost"/>
        </w:rPr>
      </w:pPr>
      <w:r w:rsidDel="00000000" w:rsidR="00000000" w:rsidRPr="00000000">
        <w:rPr>
          <w:rFonts w:ascii="Proxima Nova" w:cs="Proxima Nova" w:eastAsia="Proxima Nova" w:hAnsi="Proxima Nova"/>
        </w:rPr>
        <w:drawing>
          <wp:inline distB="114300" distT="114300" distL="114300" distR="114300">
            <wp:extent cx="4913706" cy="2986088"/>
            <wp:effectExtent b="0" l="0" r="0" t="0"/>
            <wp:docPr id="1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913706" cy="298608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numPr>
          <w:ilvl w:val="0"/>
          <w:numId w:val="2"/>
        </w:numPr>
        <w:ind w:left="720" w:hanging="360"/>
        <w:rPr/>
      </w:pPr>
      <w:r w:rsidDel="00000000" w:rsidR="00000000" w:rsidRPr="00000000">
        <w:rPr>
          <w:rFonts w:ascii="Proxima Nova" w:cs="Proxima Nova" w:eastAsia="Proxima Nova" w:hAnsi="Proxima Nova"/>
          <w:rtl w:val="0"/>
        </w:rPr>
        <w:t xml:space="preserve">What do you notice about the particle speeds after being heated? Also, are there still slow particles? </w:t>
      </w:r>
      <w:r w:rsidDel="00000000" w:rsidR="00000000" w:rsidRPr="00000000">
        <w:rPr>
          <w:rtl w:val="0"/>
        </w:rPr>
      </w:r>
    </w:p>
    <w:p w:rsidR="00000000" w:rsidDel="00000000" w:rsidP="00000000" w:rsidRDefault="00000000" w:rsidRPr="00000000" w14:paraId="0000001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6">
      <w:pPr>
        <w:numPr>
          <w:ilvl w:val="0"/>
          <w:numId w:val="2"/>
        </w:numPr>
        <w:ind w:left="720" w:hanging="360"/>
        <w:rPr/>
      </w:pPr>
      <w:r w:rsidDel="00000000" w:rsidR="00000000" w:rsidRPr="00000000">
        <w:rPr>
          <w:rFonts w:ascii="Proxima Nova" w:cs="Proxima Nova" w:eastAsia="Proxima Nova" w:hAnsi="Proxima Nova"/>
          <w:rtl w:val="0"/>
        </w:rPr>
        <w:t xml:space="preserve">What do you notice about how the graph has shifted after heating? What happened to the peak height and location? What is the same about the number of particles? </w:t>
      </w:r>
      <w:r w:rsidDel="00000000" w:rsidR="00000000" w:rsidRPr="00000000">
        <w:rPr>
          <w:rtl w:val="0"/>
        </w:rPr>
      </w:r>
    </w:p>
    <w:p w:rsidR="00000000" w:rsidDel="00000000" w:rsidP="00000000" w:rsidRDefault="00000000" w:rsidRPr="00000000" w14:paraId="00000017">
      <w:pPr>
        <w:pStyle w:val="Heading3"/>
        <w:spacing w:before="0" w:lineRule="auto"/>
        <w:jc w:val="right"/>
        <w:rPr>
          <w:rFonts w:ascii="Jost" w:cs="Jost" w:eastAsia="Jost" w:hAnsi="Jost"/>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3"/>
        <w:spacing w:before="0" w:lineRule="auto"/>
        <w:rPr>
          <w:rFonts w:ascii="Jost" w:cs="Jost" w:eastAsia="Jost" w:hAnsi="Jost"/>
          <w:b w:val="1"/>
        </w:rPr>
      </w:pPr>
      <w:bookmarkStart w:colFirst="0" w:colLast="0" w:name="_heading=h.3dy6vkm" w:id="6"/>
      <w:bookmarkEnd w:id="6"/>
      <w:r w:rsidDel="00000000" w:rsidR="00000000" w:rsidRPr="00000000">
        <w:rPr>
          <w:rFonts w:ascii="Jost" w:cs="Jost" w:eastAsia="Jost" w:hAnsi="Jost"/>
          <w:rtl w:val="0"/>
        </w:rPr>
        <w:t xml:space="preserve">Model 3 — Graphing Particle Speeds for Particles of </w:t>
      </w:r>
      <w:r w:rsidDel="00000000" w:rsidR="00000000" w:rsidRPr="00000000">
        <w:rPr>
          <w:rFonts w:ascii="Jost" w:cs="Jost" w:eastAsia="Jost" w:hAnsi="Jost"/>
          <w:b w:val="1"/>
          <w:rtl w:val="0"/>
        </w:rPr>
        <w:t xml:space="preserve">Different Mass</w:t>
      </w:r>
    </w:p>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Here is another sample of gas particles. Each particle has</w:t>
      </w:r>
      <w:r w:rsidDel="00000000" w:rsidR="00000000" w:rsidRPr="00000000">
        <w:rPr>
          <w:rFonts w:ascii="Proxima Nova" w:cs="Proxima Nova" w:eastAsia="Proxima Nova" w:hAnsi="Proxima Nova"/>
          <w:b w:val="1"/>
          <w:rtl w:val="0"/>
        </w:rPr>
        <w:t xml:space="preserve"> four times the mass</w:t>
      </w:r>
      <w:r w:rsidDel="00000000" w:rsidR="00000000" w:rsidRPr="00000000">
        <w:rPr>
          <w:rFonts w:ascii="Proxima Nova" w:cs="Proxima Nova" w:eastAsia="Proxima Nova" w:hAnsi="Proxima Nova"/>
          <w:rtl w:val="0"/>
        </w:rPr>
        <w:t xml:space="preserve"> of the blue particles from Model 1. However, the temperature of this sample of particles is actually nearly exactly the same as the particles in Model 1.</w:t>
      </w:r>
    </w:p>
    <w:p w:rsidR="00000000" w:rsidDel="00000000" w:rsidP="00000000" w:rsidRDefault="00000000" w:rsidRPr="00000000" w14:paraId="0000001A">
      <w:pPr>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5774055" cy="3247906"/>
            <wp:effectExtent b="25400" l="25400" r="25400" t="25400"/>
            <wp:docPr id="1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74055" cy="3247906"/>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B">
      <w:pPr>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C">
      <w:pPr>
        <w:numPr>
          <w:ilvl w:val="0"/>
          <w:numId w:val="2"/>
        </w:numPr>
        <w:ind w:left="720" w:hanging="360"/>
        <w:rPr/>
      </w:pPr>
      <w:r w:rsidDel="00000000" w:rsidR="00000000" w:rsidRPr="00000000">
        <w:rPr>
          <w:rFonts w:ascii="Proxima Nova" w:cs="Proxima Nova" w:eastAsia="Proxima Nova" w:hAnsi="Proxima Nova"/>
          <w:rtl w:val="0"/>
        </w:rPr>
        <w:t xml:space="preserve">Keeping in mind that temperature is a measure of the average kinetic energy of a collection of particles, and that </w:t>
      </w:r>
      <w:r w:rsidDel="00000000" w:rsidR="00000000" w:rsidRPr="00000000">
        <w:rPr>
          <w:rFonts w:ascii="Proxima Nova" w:cs="Proxima Nova" w:eastAsia="Proxima Nova" w:hAnsi="Proxima Nova"/>
          <w:b w:val="1"/>
          <w:rtl w:val="0"/>
        </w:rPr>
        <w:t xml:space="preserve">KE</w:t>
      </w:r>
      <w:r w:rsidDel="00000000" w:rsidR="00000000" w:rsidRPr="00000000">
        <w:rPr>
          <w:rFonts w:ascii="Proxima Nova" w:cs="Proxima Nova" w:eastAsia="Proxima Nova" w:hAnsi="Proxima Nova"/>
          <w:b w:val="1"/>
          <w:vertAlign w:val="subscript"/>
          <w:rtl w:val="0"/>
        </w:rPr>
        <w:t xml:space="preserve">average</w:t>
      </w:r>
      <w:r w:rsidDel="00000000" w:rsidR="00000000" w:rsidRPr="00000000">
        <w:rPr>
          <w:rFonts w:ascii="Proxima Nova" w:cs="Proxima Nova" w:eastAsia="Proxima Nova" w:hAnsi="Proxima Nova"/>
          <w:b w:val="1"/>
          <w:rtl w:val="0"/>
        </w:rPr>
        <w:t xml:space="preserve"> = ½ mv</w:t>
      </w:r>
      <w:r w:rsidDel="00000000" w:rsidR="00000000" w:rsidRPr="00000000">
        <w:rPr>
          <w:rFonts w:ascii="Proxima Nova" w:cs="Proxima Nova" w:eastAsia="Proxima Nova" w:hAnsi="Proxima Nova"/>
          <w:b w:val="1"/>
          <w:vertAlign w:val="superscript"/>
          <w:rtl w:val="0"/>
        </w:rPr>
        <w:t xml:space="preserve">2</w:t>
      </w:r>
      <w:r w:rsidDel="00000000" w:rsidR="00000000" w:rsidRPr="00000000">
        <w:rPr>
          <w:rFonts w:ascii="Proxima Nova" w:cs="Proxima Nova" w:eastAsia="Proxima Nova" w:hAnsi="Proxima Nova"/>
          <w:rtl w:val="0"/>
        </w:rPr>
        <w:t xml:space="preserve">, explain how these particles could have the same temperature of the particles in Model 1 even though their speeds are much slower. </w:t>
      </w:r>
      <w:r w:rsidDel="00000000" w:rsidR="00000000" w:rsidRPr="00000000">
        <w:rPr>
          <w:rtl w:val="0"/>
        </w:rPr>
      </w:r>
    </w:p>
    <w:p w:rsidR="00000000" w:rsidDel="00000000" w:rsidP="00000000" w:rsidRDefault="00000000" w:rsidRPr="00000000" w14:paraId="0000001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numPr>
          <w:ilvl w:val="0"/>
          <w:numId w:val="2"/>
        </w:numPr>
        <w:ind w:left="720" w:right="-240" w:hanging="360"/>
        <w:rPr/>
      </w:pPr>
      <w:r w:rsidDel="00000000" w:rsidR="00000000" w:rsidRPr="00000000">
        <w:rPr>
          <w:rFonts w:ascii="Proxima Nova" w:cs="Proxima Nova" w:eastAsia="Proxima Nova" w:hAnsi="Proxima Nova"/>
          <w:rtl w:val="0"/>
        </w:rPr>
        <w:t xml:space="preserve">Create two Maxwell-Boltzmann distributions on the graph below, one for the less-massive particles (Model 1) and one for the more-massive particles (Model 3). Label the curves “less massive” and “more massive.” </w:t>
      </w:r>
      <w:r w:rsidDel="00000000" w:rsidR="00000000" w:rsidRPr="00000000">
        <w:rPr>
          <w:rtl w:val="0"/>
        </w:rPr>
      </w:r>
    </w:p>
    <w:p w:rsidR="00000000" w:rsidDel="00000000" w:rsidP="00000000" w:rsidRDefault="00000000" w:rsidRPr="00000000" w14:paraId="00000021">
      <w:pPr>
        <w:ind w:left="720" w:right="-18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(Note that the vertical scale has changed on this graph.)</w:t>
      </w:r>
    </w:p>
    <w:p w:rsidR="00000000" w:rsidDel="00000000" w:rsidP="00000000" w:rsidRDefault="00000000" w:rsidRPr="00000000" w14:paraId="00000022">
      <w:pPr>
        <w:jc w:val="center"/>
        <w:rPr>
          <w:rFonts w:ascii="Jost" w:cs="Jost" w:eastAsia="Jost" w:hAnsi="Jost"/>
          <w:color w:val="434343"/>
          <w:sz w:val="24"/>
          <w:szCs w:val="24"/>
        </w:rPr>
      </w:pPr>
      <w:r w:rsidDel="00000000" w:rsidR="00000000" w:rsidRPr="00000000">
        <w:rPr>
          <w:rFonts w:ascii="Proxima Nova" w:cs="Proxima Nova" w:eastAsia="Proxima Nova" w:hAnsi="Proxima Nova"/>
        </w:rPr>
        <w:drawing>
          <wp:inline distB="114300" distT="114300" distL="114300" distR="114300">
            <wp:extent cx="4220629" cy="2547938"/>
            <wp:effectExtent b="0" l="0" r="0" t="0"/>
            <wp:docPr id="1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220629" cy="2547938"/>
                    </a:xfrm>
                    <a:prstGeom prst="rect"/>
                    <a:ln/>
                  </pic:spPr>
                </pic:pic>
              </a:graphicData>
            </a:graphic>
          </wp:inline>
        </w:drawing>
      </w:r>
      <w:r w:rsidDel="00000000" w:rsidR="00000000" w:rsidRPr="00000000">
        <w:rPr>
          <w:rFonts w:ascii="Proxima Nova" w:cs="Proxima Nova" w:eastAsia="Proxima Nova" w:hAnsi="Proxima Nova"/>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3"/>
        <w:spacing w:before="0" w:lineRule="auto"/>
        <w:rPr>
          <w:rFonts w:ascii="Jost" w:cs="Jost" w:eastAsia="Jost" w:hAnsi="Jost"/>
        </w:rPr>
      </w:pPr>
      <w:bookmarkStart w:colFirst="0" w:colLast="0" w:name="_heading=h.1t3h5sf" w:id="7"/>
      <w:bookmarkEnd w:id="7"/>
      <w:r w:rsidDel="00000000" w:rsidR="00000000" w:rsidRPr="00000000">
        <w:rPr>
          <w:rFonts w:ascii="Jost" w:cs="Jost" w:eastAsia="Jost" w:hAnsi="Jost"/>
          <w:rtl w:val="0"/>
        </w:rPr>
        <w:t xml:space="preserve">Model 4 — Verify these patterns using the PhET Gas Properties simulation</w:t>
      </w:r>
    </w:p>
    <w:p w:rsidR="00000000" w:rsidDel="00000000" w:rsidP="00000000" w:rsidRDefault="00000000" w:rsidRPr="00000000" w14:paraId="00000024">
      <w:pPr>
        <w:pStyle w:val="Heading3"/>
        <w:numPr>
          <w:ilvl w:val="0"/>
          <w:numId w:val="2"/>
        </w:numPr>
        <w:spacing w:after="0" w:lineRule="auto"/>
        <w:ind w:left="720" w:hanging="360"/>
        <w:rPr/>
      </w:pPr>
      <w:bookmarkStart w:colFirst="0" w:colLast="0" w:name="_heading=h.4d34og8" w:id="8"/>
      <w:bookmarkEnd w:id="8"/>
      <w:r w:rsidDel="00000000" w:rsidR="00000000" w:rsidRPr="00000000">
        <w:rPr>
          <w:rFonts w:ascii="Proxima Nova" w:cs="Proxima Nova" w:eastAsia="Proxima Nova" w:hAnsi="Proxima Nova"/>
          <w:color w:val="000000"/>
          <w:sz w:val="22"/>
          <w:szCs w:val="22"/>
          <w:rtl w:val="0"/>
        </w:rPr>
        <w:t xml:space="preserve">Open the </w:t>
      </w:r>
      <w:hyperlink r:id="rId12">
        <w:r w:rsidDel="00000000" w:rsidR="00000000" w:rsidRPr="00000000">
          <w:rPr>
            <w:rFonts w:ascii="Proxima Nova" w:cs="Proxima Nova" w:eastAsia="Proxima Nova" w:hAnsi="Proxima Nova"/>
            <w:color w:val="1155cc"/>
            <w:sz w:val="22"/>
            <w:szCs w:val="22"/>
            <w:u w:val="single"/>
            <w:rtl w:val="0"/>
          </w:rPr>
          <w:t xml:space="preserve">PhET Gas Properties Simulation</w:t>
        </w:r>
      </w:hyperlink>
      <w:r w:rsidDel="00000000" w:rsidR="00000000" w:rsidRPr="00000000">
        <w:rPr>
          <w:rFonts w:ascii="Proxima Nova" w:cs="Proxima Nova" w:eastAsia="Proxima Nova" w:hAnsi="Proxima Nova"/>
          <w:color w:val="000000"/>
          <w:sz w:val="22"/>
          <w:szCs w:val="22"/>
          <w:rtl w:val="0"/>
        </w:rPr>
        <w:t xml:space="preserve">. Click the “Energy” tab. Make sure the Kinetic Energy and Speed graphs are open and that the red and blue particle boxes are checked under each graph.</w:t>
      </w: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pPr>
      <w:r w:rsidDel="00000000" w:rsidR="00000000" w:rsidRPr="00000000">
        <w:rPr>
          <w:rFonts w:ascii="Proxima Nova" w:cs="Proxima Nova" w:eastAsia="Proxima Nova" w:hAnsi="Proxima Nova"/>
          <w:rtl w:val="0"/>
        </w:rPr>
        <w:t xml:space="preserve">Do three pumps of large blue particles and three pumps of small red particles. Observe the movement of the particles and the results of both graphs. You may use the table or space below it to record your observations.</w:t>
      </w:r>
      <w:r w:rsidDel="00000000" w:rsidR="00000000" w:rsidRPr="00000000">
        <w:rPr>
          <w:rtl w:val="0"/>
        </w:rPr>
      </w:r>
    </w:p>
    <w:p w:rsidR="00000000" w:rsidDel="00000000" w:rsidP="00000000" w:rsidRDefault="00000000" w:rsidRPr="00000000" w14:paraId="00000026">
      <w:pPr>
        <w:spacing w:line="240" w:lineRule="auto"/>
        <w:rPr>
          <w:rFonts w:ascii="Proxima Nova" w:cs="Proxima Nova" w:eastAsia="Proxima Nova" w:hAnsi="Proxima Nova"/>
        </w:rPr>
      </w:pPr>
      <w:r w:rsidDel="00000000" w:rsidR="00000000" w:rsidRPr="00000000">
        <w:rPr>
          <w:rtl w:val="0"/>
        </w:rPr>
      </w:r>
    </w:p>
    <w:tbl>
      <w:tblPr>
        <w:tblStyle w:val="Table1"/>
        <w:tblW w:w="1095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2355"/>
        <w:gridCol w:w="2355"/>
        <w:gridCol w:w="2355"/>
        <w:gridCol w:w="2355"/>
        <w:tblGridChange w:id="0">
          <w:tblGrid>
            <w:gridCol w:w="1539"/>
            <w:gridCol w:w="2355"/>
            <w:gridCol w:w="2355"/>
            <w:gridCol w:w="2355"/>
            <w:gridCol w:w="2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observations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speed graph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kinetic energy graph</w:t>
            </w:r>
          </w:p>
        </w:tc>
      </w:tr>
      <w:tr>
        <w:trPr>
          <w:cantSplit w:val="0"/>
          <w:trHeight w:val="22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large blue particles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Proxima Nova" w:cs="Proxima Nova" w:eastAsia="Proxima Nova" w:hAnsi="Proxima Nova"/>
              </w:rPr>
            </w:pPr>
            <w:r w:rsidDel="00000000" w:rsidR="00000000" w:rsidRPr="00000000">
              <w:rPr>
                <w:rtl w:val="0"/>
              </w:rPr>
            </w:r>
          </w:p>
        </w:tc>
      </w:tr>
      <w:tr>
        <w:trPr>
          <w:cantSplit w:val="0"/>
          <w:trHeight w:val="22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small red particles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37">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8">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A">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B">
      <w:pPr>
        <w:spacing w:line="240" w:lineRule="auto"/>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C">
      <w:pPr>
        <w:numPr>
          <w:ilvl w:val="0"/>
          <w:numId w:val="2"/>
        </w:numPr>
        <w:spacing w:line="240" w:lineRule="auto"/>
        <w:ind w:left="720" w:hanging="360"/>
        <w:rPr/>
      </w:pPr>
      <w:r w:rsidDel="00000000" w:rsidR="00000000" w:rsidRPr="00000000">
        <w:rPr>
          <w:rFonts w:ascii="Proxima Nova" w:cs="Proxima Nova" w:eastAsia="Proxima Nova" w:hAnsi="Proxima Nova"/>
          <w:rtl w:val="0"/>
        </w:rPr>
        <w:t xml:space="preserve">Now uncheck the blue and red boxes under each graph. Heat the particles way up and observe what happens to the graphs. Then cool the particles way down and observe what happens to the graphs.</w:t>
      </w:r>
      <w:r w:rsidDel="00000000" w:rsidR="00000000" w:rsidRPr="00000000">
        <w:rPr>
          <w:rtl w:val="0"/>
        </w:rPr>
      </w:r>
    </w:p>
    <w:p w:rsidR="00000000" w:rsidDel="00000000" w:rsidP="00000000" w:rsidRDefault="00000000" w:rsidRPr="00000000" w14:paraId="0000003D">
      <w:pPr>
        <w:spacing w:line="240" w:lineRule="auto"/>
        <w:rPr>
          <w:rFonts w:ascii="Proxima Nova" w:cs="Proxima Nova" w:eastAsia="Proxima Nova" w:hAnsi="Proxima Nova"/>
        </w:rPr>
      </w:pPr>
      <w:r w:rsidDel="00000000" w:rsidR="00000000" w:rsidRPr="00000000">
        <w:rPr>
          <w:rtl w:val="0"/>
        </w:rPr>
      </w:r>
    </w:p>
    <w:tbl>
      <w:tblPr>
        <w:tblStyle w:val="Table2"/>
        <w:tblW w:w="6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0"/>
        <w:gridCol w:w="5320"/>
        <w:tblGridChange w:id="0">
          <w:tblGrid>
            <w:gridCol w:w="1100"/>
            <w:gridCol w:w="5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observations</w:t>
            </w:r>
          </w:p>
        </w:tc>
      </w:tr>
      <w:tr>
        <w:trPr>
          <w:cantSplit w:val="0"/>
          <w:trHeight w:val="165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when heated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2">
            <w:pPr>
              <w:widowControl w:val="0"/>
              <w:spacing w:line="240" w:lineRule="auto"/>
              <w:jc w:val="center"/>
              <w:rPr>
                <w:rFonts w:ascii="Proxima Nova" w:cs="Proxima Nova" w:eastAsia="Proxima Nova" w:hAnsi="Proxima Nova"/>
              </w:rPr>
            </w:pPr>
            <w:r w:rsidDel="00000000" w:rsidR="00000000" w:rsidRPr="00000000">
              <w:rPr>
                <w:rtl w:val="0"/>
              </w:rPr>
            </w:r>
          </w:p>
        </w:tc>
      </w:tr>
      <w:tr>
        <w:trPr>
          <w:cantSplit w:val="0"/>
          <w:trHeight w:val="165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when cooled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45">
      <w:pPr>
        <w:jc w:val="right"/>
        <w:rPr/>
      </w:pPr>
      <w:r w:rsidDel="00000000" w:rsidR="00000000" w:rsidRPr="00000000">
        <w:rPr>
          <w:rtl w:val="0"/>
        </w:rPr>
      </w:r>
    </w:p>
    <w:sectPr>
      <w:headerReference r:id="rId13" w:type="default"/>
      <w:pgSz w:h="15840" w:w="12240" w:orient="portrait"/>
      <w:pgMar w:bottom="240" w:top="450" w:left="792" w:right="7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pPr>
    <w:r w:rsidDel="00000000" w:rsidR="00000000" w:rsidRPr="00000000">
      <w:rPr>
        <w:rFonts w:ascii="Proxima Nova" w:cs="Proxima Nova" w:eastAsia="Proxima Nova" w:hAnsi="Proxima Nov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Proxima Nova" w:cs="Proxima Nova" w:eastAsia="Proxima Nova" w:hAnsi="Proxima Nova"/>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Proxima Nova" w:cs="Proxima Nova" w:eastAsia="Proxima Nova" w:hAnsi="Proxima Nova"/>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https://phet.colorado.edu/sims/html/gas-properties/latest/gas-properties_en.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Jost-regular.ttf"/><Relationship Id="rId6" Type="http://schemas.openxmlformats.org/officeDocument/2006/relationships/font" Target="fonts/Jost-bold.ttf"/><Relationship Id="rId7" Type="http://schemas.openxmlformats.org/officeDocument/2006/relationships/font" Target="fonts/Jost-italic.ttf"/><Relationship Id="rId8"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cdOF1gtRP9+pqJgwxMAvVXM2Q==">CgMxLjAyCGguZ2pkZ3hzMgloLjMwajB6bGwyCWguMWZvYjl0ZTIJaC4zem55c2g3MgloLjJldDkycDAyCGgudHlqY3d0MgloLjNkeTZ2a20yCWguMXQzaDVzZjIJaC40ZDM0b2c4OAByITF5VkFhazRFenR2UXpYb3BEYlIxVjV1STMxQW03Z1Q5NQ==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